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F8" w:rsidRPr="003F1946" w:rsidRDefault="00FE04F8" w:rsidP="00FE04F8">
      <w:pPr>
        <w:pStyle w:val="a5"/>
        <w:shd w:val="clear" w:color="auto" w:fill="FFFFFF"/>
        <w:spacing w:before="0" w:beforeAutospacing="0" w:after="0" w:afterAutospacing="0"/>
        <w:jc w:val="center"/>
        <w:rPr>
          <w:color w:val="333333"/>
          <w:sz w:val="28"/>
          <w:szCs w:val="28"/>
        </w:rPr>
      </w:pPr>
      <w:r w:rsidRPr="003F1946">
        <w:rPr>
          <w:rStyle w:val="style21"/>
          <w:rFonts w:hint="eastAsia"/>
          <w:color w:val="333333"/>
          <w:sz w:val="28"/>
          <w:szCs w:val="28"/>
        </w:rPr>
        <w:t>档号编制规则</w:t>
      </w:r>
    </w:p>
    <w:p w:rsidR="00FE04F8" w:rsidRDefault="00FE04F8" w:rsidP="00FE04F8">
      <w:pPr>
        <w:pStyle w:val="a5"/>
        <w:shd w:val="clear" w:color="auto" w:fill="FFFFFF"/>
        <w:spacing w:before="0" w:beforeAutospacing="0" w:after="0" w:afterAutospacing="0"/>
        <w:jc w:val="center"/>
        <w:rPr>
          <w:color w:val="333333"/>
          <w:sz w:val="21"/>
          <w:szCs w:val="21"/>
        </w:rPr>
      </w:pPr>
      <w:r>
        <w:rPr>
          <w:rStyle w:val="a6"/>
          <w:rFonts w:hint="eastAsia"/>
          <w:color w:val="333333"/>
          <w:sz w:val="21"/>
          <w:szCs w:val="21"/>
        </w:rPr>
        <w:t>（DA/T13—94</w:t>
      </w:r>
      <w:r>
        <w:rPr>
          <w:rFonts w:hint="eastAsia"/>
          <w:b/>
          <w:bCs/>
          <w:color w:val="333333"/>
          <w:sz w:val="21"/>
          <w:szCs w:val="21"/>
        </w:rPr>
        <w:t>）</w:t>
      </w:r>
    </w:p>
    <w:p w:rsidR="00FE04F8" w:rsidRDefault="00FE04F8" w:rsidP="00FE04F8">
      <w:pPr>
        <w:pStyle w:val="a5"/>
        <w:shd w:val="clear" w:color="auto" w:fill="FFFFFF"/>
        <w:spacing w:before="0" w:beforeAutospacing="0" w:after="0" w:afterAutospacing="0"/>
        <w:jc w:val="center"/>
        <w:rPr>
          <w:color w:val="333333"/>
          <w:sz w:val="21"/>
          <w:szCs w:val="21"/>
        </w:rPr>
      </w:pPr>
      <w:r>
        <w:rPr>
          <w:rFonts w:hint="eastAsia"/>
          <w:color w:val="333333"/>
        </w:rPr>
        <w:t>（1995年6月12日国家档案局批准，1995年10月1日起实施）</w:t>
      </w:r>
    </w:p>
    <w:p w:rsidR="00FE04F8" w:rsidRDefault="00FE04F8" w:rsidP="00FE04F8">
      <w:pPr>
        <w:pStyle w:val="a5"/>
        <w:shd w:val="clear" w:color="auto" w:fill="FFFFFF"/>
        <w:spacing w:before="0" w:beforeAutospacing="0" w:after="0" w:afterAutospacing="0"/>
        <w:rPr>
          <w:color w:val="333333"/>
          <w:sz w:val="21"/>
          <w:szCs w:val="21"/>
        </w:rPr>
      </w:pPr>
      <w:r>
        <w:rPr>
          <w:rStyle w:val="a6"/>
          <w:rFonts w:hint="eastAsia"/>
          <w:color w:val="333333"/>
        </w:rPr>
        <w:t> </w:t>
      </w:r>
    </w:p>
    <w:p w:rsidR="00FE04F8" w:rsidRDefault="00FE04F8" w:rsidP="00FE04F8">
      <w:pPr>
        <w:pStyle w:val="a5"/>
        <w:shd w:val="clear" w:color="auto" w:fill="FFFFFF"/>
        <w:spacing w:before="0" w:beforeAutospacing="0" w:after="0" w:afterAutospacing="0"/>
        <w:rPr>
          <w:color w:val="333333"/>
          <w:sz w:val="21"/>
          <w:szCs w:val="21"/>
        </w:rPr>
      </w:pPr>
      <w:r>
        <w:rPr>
          <w:rStyle w:val="a6"/>
          <w:rFonts w:hint="eastAsia"/>
          <w:color w:val="333333"/>
        </w:rPr>
        <w:t>1 主题内容与适用范围</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本标准规定了档号的结构、编制原则和编制方法。</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本标准适用于档案馆（室）编制档号。</w:t>
      </w:r>
    </w:p>
    <w:p w:rsidR="00FE04F8" w:rsidRDefault="00FE04F8" w:rsidP="00FE04F8">
      <w:pPr>
        <w:pStyle w:val="a5"/>
        <w:shd w:val="clear" w:color="auto" w:fill="FFFFFF"/>
        <w:spacing w:before="0" w:beforeAutospacing="0" w:after="0" w:afterAutospacing="0"/>
        <w:rPr>
          <w:color w:val="333333"/>
          <w:sz w:val="21"/>
          <w:szCs w:val="21"/>
        </w:rPr>
      </w:pPr>
      <w:r>
        <w:rPr>
          <w:rStyle w:val="a6"/>
          <w:rFonts w:hint="eastAsia"/>
          <w:color w:val="333333"/>
        </w:rPr>
        <w:t> </w:t>
      </w:r>
    </w:p>
    <w:p w:rsidR="00FE04F8" w:rsidRDefault="00FE04F8" w:rsidP="00FE04F8">
      <w:pPr>
        <w:pStyle w:val="a5"/>
        <w:shd w:val="clear" w:color="auto" w:fill="FFFFFF"/>
        <w:spacing w:before="0" w:beforeAutospacing="0" w:after="0" w:afterAutospacing="0"/>
        <w:rPr>
          <w:color w:val="333333"/>
          <w:sz w:val="21"/>
          <w:szCs w:val="21"/>
        </w:rPr>
      </w:pPr>
      <w:r>
        <w:rPr>
          <w:rStyle w:val="a6"/>
          <w:rFonts w:hint="eastAsia"/>
          <w:color w:val="333333"/>
        </w:rPr>
        <w:t>2 术语</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2.1 档号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档案馆（室）在整理和管理档案的过程中，以字符形式赋予档案的一组代码。档号是存取档案的标记，并具有统计监督作用。</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2.2 全宗号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档案馆（室）给定每个全宗的代码。</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2.3 案卷目录号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全宗内案卷所属目录的代码。</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2.4 类别号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馆（室）藏档案类别的代码。</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2.5 项目号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产品、工程、课题、设备等档案的代字和代号。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2.6 案卷号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案卷排列的顺序号。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2.7 件号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案卷内文件的顺序号。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2.8页（张）号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案卷内文件每页（张）的顺序号。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2.9 代码</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一个或一组有序的、易于计算机和人识别与处理的数字、字母、汉字及其它符号。</w:t>
      </w:r>
    </w:p>
    <w:p w:rsidR="00FE04F8" w:rsidRDefault="00FE04F8" w:rsidP="00FE04F8">
      <w:pPr>
        <w:pStyle w:val="a5"/>
        <w:shd w:val="clear" w:color="auto" w:fill="FFFFFF"/>
        <w:spacing w:before="0" w:beforeAutospacing="0" w:after="0" w:afterAutospacing="0"/>
        <w:rPr>
          <w:color w:val="333333"/>
          <w:sz w:val="21"/>
          <w:szCs w:val="21"/>
        </w:rPr>
      </w:pPr>
      <w:r>
        <w:rPr>
          <w:rStyle w:val="a6"/>
          <w:rFonts w:hint="eastAsia"/>
          <w:color w:val="333333"/>
        </w:rPr>
        <w:t> </w:t>
      </w:r>
    </w:p>
    <w:p w:rsidR="00FE04F8" w:rsidRDefault="00FE04F8" w:rsidP="00FE04F8">
      <w:pPr>
        <w:pStyle w:val="a5"/>
        <w:shd w:val="clear" w:color="auto" w:fill="FFFFFF"/>
        <w:spacing w:before="0" w:beforeAutospacing="0" w:after="0" w:afterAutospacing="0"/>
        <w:rPr>
          <w:color w:val="333333"/>
          <w:sz w:val="21"/>
          <w:szCs w:val="21"/>
        </w:rPr>
      </w:pPr>
      <w:r>
        <w:rPr>
          <w:rStyle w:val="a6"/>
          <w:rFonts w:hint="eastAsia"/>
          <w:color w:val="333333"/>
        </w:rPr>
        <w:t>3 档号编制原则</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3.1 唯一性原则</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档案馆（室）内档号应指代单一。不同编号对象应赋予不同代码，一个代码只表示一个编号对象。</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3.2 合理性原则</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档号结构必须与馆藏档案的整理分类体系相适应。</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3.3 稳定性原则</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档号一经确定，一般不应随意改变。</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3.4 扩充性原则</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档号必须留有适当的递增容量，以便适应不断扩充档案的需要。</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3.5 简单性原则</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档号力求简短明了，以便减少代码差错，节省存贮空间，提高处理效率。</w:t>
      </w:r>
    </w:p>
    <w:p w:rsidR="00FE04F8" w:rsidRDefault="00FE04F8" w:rsidP="00FE04F8">
      <w:pPr>
        <w:pStyle w:val="a5"/>
        <w:shd w:val="clear" w:color="auto" w:fill="FFFFFF"/>
        <w:spacing w:before="0" w:beforeAutospacing="0" w:after="0" w:afterAutospacing="0"/>
        <w:rPr>
          <w:color w:val="333333"/>
          <w:sz w:val="21"/>
          <w:szCs w:val="21"/>
        </w:rPr>
      </w:pPr>
      <w:r>
        <w:rPr>
          <w:rStyle w:val="a6"/>
          <w:rFonts w:hint="eastAsia"/>
          <w:color w:val="333333"/>
        </w:rPr>
        <w:t> </w:t>
      </w:r>
    </w:p>
    <w:p w:rsidR="00FE04F8" w:rsidRDefault="00FE04F8" w:rsidP="00FE04F8">
      <w:pPr>
        <w:pStyle w:val="a5"/>
        <w:shd w:val="clear" w:color="auto" w:fill="FFFFFF"/>
        <w:spacing w:before="0" w:beforeAutospacing="0" w:after="0" w:afterAutospacing="0"/>
        <w:rPr>
          <w:color w:val="333333"/>
          <w:sz w:val="21"/>
          <w:szCs w:val="21"/>
        </w:rPr>
      </w:pPr>
      <w:r>
        <w:rPr>
          <w:rStyle w:val="a6"/>
          <w:rFonts w:hint="eastAsia"/>
          <w:color w:val="333333"/>
        </w:rPr>
        <w:t>4 档号的结构</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lastRenderedPageBreak/>
        <w:t>档号结构分为三种：</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4.1 第一种结构为：全宗号——案卷目录号——案卷号——件、页（张）号。</w:t>
      </w:r>
    </w:p>
    <w:p w:rsidR="00FE04F8" w:rsidRDefault="00FE04F8" w:rsidP="00FE04F8">
      <w:pPr>
        <w:pStyle w:val="a5"/>
        <w:shd w:val="clear" w:color="auto" w:fill="FFFFFF"/>
        <w:spacing w:before="0" w:beforeAutospacing="0" w:after="0" w:afterAutospacing="0"/>
        <w:ind w:left="600" w:hanging="600"/>
        <w:rPr>
          <w:color w:val="333333"/>
          <w:sz w:val="21"/>
          <w:szCs w:val="21"/>
        </w:rPr>
      </w:pPr>
      <w:r>
        <w:rPr>
          <w:rFonts w:hint="eastAsia"/>
          <w:color w:val="333333"/>
        </w:rPr>
        <w:t>即：××××—×××—×××—×××</w:t>
      </w:r>
    </w:p>
    <w:p w:rsidR="00FE04F8" w:rsidRDefault="00FE04F8" w:rsidP="00FE04F8">
      <w:pPr>
        <w:pStyle w:val="a5"/>
        <w:shd w:val="clear" w:color="auto" w:fill="FFFFFF"/>
        <w:spacing w:before="0" w:beforeAutospacing="0" w:after="0" w:afterAutospacing="0"/>
        <w:ind w:left="599" w:hanging="120"/>
        <w:rPr>
          <w:color w:val="333333"/>
          <w:sz w:val="21"/>
          <w:szCs w:val="21"/>
        </w:rPr>
      </w:pPr>
      <w:r>
        <w:rPr>
          <w:rFonts w:hint="eastAsia"/>
          <w:color w:val="333333"/>
        </w:rPr>
        <w:t>全宗号-案卷目录号-案卷号-件、页（张）号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4.2 第二种结构为：全宗号——类别号——案卷号——件、页（张）号。</w:t>
      </w:r>
    </w:p>
    <w:p w:rsidR="00FE04F8" w:rsidRDefault="00FE04F8" w:rsidP="00FE04F8">
      <w:pPr>
        <w:pStyle w:val="a5"/>
        <w:shd w:val="clear" w:color="auto" w:fill="FFFFFF"/>
        <w:spacing w:before="0" w:beforeAutospacing="0" w:after="0" w:afterAutospacing="0"/>
        <w:ind w:left="480" w:hanging="480"/>
        <w:rPr>
          <w:color w:val="333333"/>
          <w:sz w:val="21"/>
          <w:szCs w:val="21"/>
        </w:rPr>
      </w:pPr>
      <w:r>
        <w:rPr>
          <w:rFonts w:hint="eastAsia"/>
          <w:color w:val="333333"/>
        </w:rPr>
        <w:t>即：××××-×××……n-×××-×××</w:t>
      </w:r>
      <w:r>
        <w:rPr>
          <w:rFonts w:hint="eastAsia"/>
          <w:color w:val="333333"/>
          <w:sz w:val="21"/>
          <w:szCs w:val="21"/>
        </w:rPr>
        <w:br/>
      </w:r>
      <w:r>
        <w:rPr>
          <w:rFonts w:hint="eastAsia"/>
          <w:color w:val="333333"/>
        </w:rPr>
        <w:t>全宗号- 类别号 - 案卷号- 件、页（张）号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4.3 第三种结构为：类别号——项目号——案卷号——件、页（张）号。</w:t>
      </w:r>
    </w:p>
    <w:p w:rsidR="00FE04F8" w:rsidRDefault="00FE04F8" w:rsidP="00FE04F8">
      <w:pPr>
        <w:pStyle w:val="a5"/>
        <w:shd w:val="clear" w:color="auto" w:fill="FFFFFF"/>
        <w:spacing w:before="0" w:beforeAutospacing="0" w:after="0" w:afterAutospacing="0"/>
        <w:ind w:left="480" w:hanging="480"/>
        <w:rPr>
          <w:color w:val="333333"/>
          <w:sz w:val="21"/>
          <w:szCs w:val="21"/>
        </w:rPr>
      </w:pPr>
      <w:r>
        <w:rPr>
          <w:rFonts w:hint="eastAsia"/>
          <w:color w:val="333333"/>
        </w:rPr>
        <w:t>即：×××……n-×××……n-×××-×××</w:t>
      </w:r>
      <w:r>
        <w:rPr>
          <w:rFonts w:hint="eastAsia"/>
          <w:color w:val="333333"/>
          <w:sz w:val="21"/>
          <w:szCs w:val="21"/>
        </w:rPr>
        <w:br/>
      </w:r>
      <w:r>
        <w:rPr>
          <w:rFonts w:hint="eastAsia"/>
          <w:color w:val="333333"/>
        </w:rPr>
        <w:t>类别号 - 项目号 -案卷号 -件、页（张）号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4.4 档号中左边为上位代码，右边下位代码，连写时上、下位代码之间用“-”（短横）相隔。</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4.5 件号、页（张）号可根据档案保管和使用的需要，选择一项编号。</w:t>
      </w:r>
    </w:p>
    <w:p w:rsidR="00FE04F8" w:rsidRDefault="00FE04F8" w:rsidP="00FE04F8">
      <w:pPr>
        <w:pStyle w:val="a5"/>
        <w:shd w:val="clear" w:color="auto" w:fill="FFFFFF"/>
        <w:spacing w:before="0" w:beforeAutospacing="0" w:after="0" w:afterAutospacing="0"/>
        <w:rPr>
          <w:color w:val="333333"/>
          <w:sz w:val="21"/>
          <w:szCs w:val="21"/>
        </w:rPr>
      </w:pPr>
      <w:r>
        <w:rPr>
          <w:rStyle w:val="a6"/>
          <w:rFonts w:hint="eastAsia"/>
          <w:color w:val="333333"/>
        </w:rPr>
        <w:t> </w:t>
      </w:r>
    </w:p>
    <w:p w:rsidR="00FE04F8" w:rsidRDefault="00FE04F8" w:rsidP="00FE04F8">
      <w:pPr>
        <w:pStyle w:val="a5"/>
        <w:shd w:val="clear" w:color="auto" w:fill="FFFFFF"/>
        <w:spacing w:before="0" w:beforeAutospacing="0" w:after="0" w:afterAutospacing="0"/>
        <w:rPr>
          <w:color w:val="333333"/>
          <w:sz w:val="21"/>
          <w:szCs w:val="21"/>
        </w:rPr>
      </w:pPr>
      <w:r>
        <w:rPr>
          <w:rStyle w:val="a6"/>
          <w:rFonts w:hint="eastAsia"/>
          <w:color w:val="333333"/>
        </w:rPr>
        <w:t>5 档号的编制方法</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5.1 </w:t>
      </w:r>
      <w:r>
        <w:rPr>
          <w:rFonts w:hint="eastAsia"/>
          <w:b/>
          <w:bCs/>
          <w:color w:val="333333"/>
        </w:rPr>
        <w:t>全宗号的编制方法</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全宗号用四位代码标识。其中第一位用汉语拼音字母标识全宗属性，后三位用阿拉伯数字标识某一属类全宗的顺序号。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全宗号的格式是：× ×××</w:t>
      </w:r>
      <w:r>
        <w:rPr>
          <w:rFonts w:hint="eastAsia"/>
          <w:color w:val="333333"/>
          <w:sz w:val="21"/>
          <w:szCs w:val="21"/>
        </w:rPr>
        <w:br/>
      </w:r>
      <w:r>
        <w:rPr>
          <w:rFonts w:hint="eastAsia"/>
          <w:color w:val="333333"/>
        </w:rPr>
        <w:t>全宗属类代码 全宗顺序号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5.1.1全宗属类代码的编制方法</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5.1.1.1 在一个档案馆内，全宗属类代码不应重复。</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5.1.1.2 全宗属性单一的档案馆可以“0”作属类代码。</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例一：某省档案馆藏新民主主义革命历史档案第13号全宗，标识为“X013”。</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例二：某市档案馆藏旧政权档案第4号全宗教，标识为“J004”。</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例三：某县档案馆藏建国后档案第127号全宗，标识为“0127”。</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例四：河北省档案馆藏原热河省第123号全宗，可标识为“R123”。</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例五：四川省档案馆藏已撤销的川东行署003号全宗，可标识为“D003”。</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例六：中国第一历史档案馆藏明清档案第74号全宗，标识为“0074”。</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5.1.2全宗顺序号的编制方法</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5.1.2.1 全宗属类内的各个全宗按排列次序流水编号。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5.1.2.2 在一个属类内不应有重复的全宗顺序号。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5.2</w:t>
      </w:r>
      <w:r>
        <w:rPr>
          <w:rFonts w:hint="eastAsia"/>
          <w:b/>
          <w:bCs/>
          <w:color w:val="333333"/>
          <w:sz w:val="21"/>
          <w:szCs w:val="21"/>
        </w:rPr>
        <w:t> </w:t>
      </w:r>
      <w:r>
        <w:rPr>
          <w:rFonts w:hint="eastAsia"/>
          <w:b/>
          <w:bCs/>
          <w:color w:val="333333"/>
        </w:rPr>
        <w:t>案卷目录号的编制方法</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案卷目录号以三位阿拉伯数字标识。</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5.2.1案卷目录号应根据全宗内档案整理状况设置。可按不同时间，不同组织结构，不同保管期限，不同专题或不同载体形态设置案卷目录号。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5.2.2每一案卷目录所含案卷数量一般以三位数为宜。即，案卷目录内案卷数量不足100时，一般不另立案卷目录，亦不另编案卷目录号；案卷数量超过1000时，一般应另立案卷目录，并另编案卷目录号。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5.2.3在一个全宗内不应有重复的案卷目录号。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5.3 </w:t>
      </w:r>
      <w:r>
        <w:rPr>
          <w:rFonts w:hint="eastAsia"/>
          <w:b/>
          <w:bCs/>
          <w:color w:val="333333"/>
        </w:rPr>
        <w:t>类别号的编制方法</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5.3.1类别号由汉字、汉语拼音字母或阿拉伯数字组成的代码标识。</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5.3.2不同级位的类别之间可用间隔符“.”分开。不产生误解时，可省略间隔符。类别号一般不应超过三级。</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lastRenderedPageBreak/>
        <w:t>5.3.3在一个档案馆（室）内或一个全宗内，不应有重复的类别号，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5.4 </w:t>
      </w:r>
      <w:r>
        <w:rPr>
          <w:rFonts w:hint="eastAsia"/>
          <w:b/>
          <w:bCs/>
          <w:color w:val="333333"/>
        </w:rPr>
        <w:t>项目号的编制方法</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项目号引用有关管理部门编制的项目代号。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5.5 </w:t>
      </w:r>
      <w:r>
        <w:rPr>
          <w:rFonts w:hint="eastAsia"/>
          <w:b/>
          <w:bCs/>
          <w:color w:val="333333"/>
        </w:rPr>
        <w:t>案卷号的编制方法</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5.5.1案卷号用三位阿拉伯数字标识。</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5.5.2目录内的案卷按排列次序流水编号，不应有空号。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5.5.3每一案卷目录内的全部案卷只应编一个流水顺序号。如一个目录出现两个以上（含两个）案卷流水顺序号时应重新编案卷号或分设案卷目录；如一个案卷流水顺序号分登两个以上（含两个）案卷目录时应合并为一个目录号或按目录分编相应数目的案卷流水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5.6 </w:t>
      </w:r>
      <w:r>
        <w:rPr>
          <w:rFonts w:hint="eastAsia"/>
          <w:b/>
          <w:bCs/>
          <w:color w:val="333333"/>
        </w:rPr>
        <w:t>件号的编制方法</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5.6.1不装订的案卷，卷内文件必须单件装订编号。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5.6.2件号用阿拉伯数字标识。</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5.6.3卷内文件按排列次序流水编号，不应有空号。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5.6.4件号前必须同时列写案卷及其以前各号。</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5.7 </w:t>
      </w:r>
      <w:r>
        <w:rPr>
          <w:rFonts w:hint="eastAsia"/>
          <w:b/>
          <w:bCs/>
          <w:color w:val="333333"/>
        </w:rPr>
        <w:t>页（张）号的编制方法</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5.7.1页（张）号用阿拉伯数字标识。</w:t>
      </w:r>
    </w:p>
    <w:p w:rsidR="00FE04F8" w:rsidRDefault="00FE04F8" w:rsidP="00FE04F8">
      <w:pPr>
        <w:pStyle w:val="a5"/>
        <w:shd w:val="clear" w:color="auto" w:fill="FFFFFF"/>
        <w:spacing w:before="0" w:beforeAutospacing="0" w:after="0" w:afterAutospacing="0"/>
        <w:rPr>
          <w:color w:val="333333"/>
          <w:sz w:val="21"/>
          <w:szCs w:val="21"/>
        </w:rPr>
      </w:pPr>
      <w:r>
        <w:rPr>
          <w:rFonts w:hint="eastAsia"/>
          <w:color w:val="333333"/>
        </w:rPr>
        <w:t>5.7.2卷内文件各页（张）按排列次序流水编号。不应有空号。</w:t>
      </w:r>
    </w:p>
    <w:p w:rsidR="005A288A" w:rsidRDefault="005A288A"/>
    <w:sectPr w:rsidR="005A288A" w:rsidSect="005C7BD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808" w:rsidRDefault="003F6808" w:rsidP="00FE04F8">
      <w:r>
        <w:separator/>
      </w:r>
    </w:p>
  </w:endnote>
  <w:endnote w:type="continuationSeparator" w:id="1">
    <w:p w:rsidR="003F6808" w:rsidRDefault="003F6808" w:rsidP="00FE04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856"/>
      <w:docPartObj>
        <w:docPartGallery w:val="Page Numbers (Bottom of Page)"/>
        <w:docPartUnique/>
      </w:docPartObj>
    </w:sdtPr>
    <w:sdtContent>
      <w:p w:rsidR="003F1946" w:rsidRDefault="003F1946">
        <w:pPr>
          <w:pStyle w:val="a4"/>
          <w:jc w:val="center"/>
        </w:pPr>
        <w:fldSimple w:instr=" PAGE   \* MERGEFORMAT ">
          <w:r w:rsidRPr="003F1946">
            <w:rPr>
              <w:noProof/>
              <w:lang w:val="zh-CN"/>
            </w:rPr>
            <w:t>2</w:t>
          </w:r>
        </w:fldSimple>
      </w:p>
    </w:sdtContent>
  </w:sdt>
  <w:p w:rsidR="003F1946" w:rsidRDefault="003F19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808" w:rsidRDefault="003F6808" w:rsidP="00FE04F8">
      <w:r>
        <w:separator/>
      </w:r>
    </w:p>
  </w:footnote>
  <w:footnote w:type="continuationSeparator" w:id="1">
    <w:p w:rsidR="003F6808" w:rsidRDefault="003F6808" w:rsidP="00FE04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04F8"/>
    <w:rsid w:val="003F1946"/>
    <w:rsid w:val="003F6808"/>
    <w:rsid w:val="005A288A"/>
    <w:rsid w:val="005C7BDB"/>
    <w:rsid w:val="00FE0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B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04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04F8"/>
    <w:rPr>
      <w:sz w:val="18"/>
      <w:szCs w:val="18"/>
    </w:rPr>
  </w:style>
  <w:style w:type="paragraph" w:styleId="a4">
    <w:name w:val="footer"/>
    <w:basedOn w:val="a"/>
    <w:link w:val="Char0"/>
    <w:uiPriority w:val="99"/>
    <w:unhideWhenUsed/>
    <w:rsid w:val="00FE04F8"/>
    <w:pPr>
      <w:tabs>
        <w:tab w:val="center" w:pos="4153"/>
        <w:tab w:val="right" w:pos="8306"/>
      </w:tabs>
      <w:snapToGrid w:val="0"/>
      <w:jc w:val="left"/>
    </w:pPr>
    <w:rPr>
      <w:sz w:val="18"/>
      <w:szCs w:val="18"/>
    </w:rPr>
  </w:style>
  <w:style w:type="character" w:customStyle="1" w:styleId="Char0">
    <w:name w:val="页脚 Char"/>
    <w:basedOn w:val="a0"/>
    <w:link w:val="a4"/>
    <w:uiPriority w:val="99"/>
    <w:rsid w:val="00FE04F8"/>
    <w:rPr>
      <w:sz w:val="18"/>
      <w:szCs w:val="18"/>
    </w:rPr>
  </w:style>
  <w:style w:type="paragraph" w:styleId="a5">
    <w:name w:val="Normal (Web)"/>
    <w:basedOn w:val="a"/>
    <w:uiPriority w:val="99"/>
    <w:semiHidden/>
    <w:unhideWhenUsed/>
    <w:rsid w:val="00FE04F8"/>
    <w:pPr>
      <w:widowControl/>
      <w:spacing w:before="100" w:beforeAutospacing="1" w:after="100" w:afterAutospacing="1"/>
      <w:jc w:val="left"/>
    </w:pPr>
    <w:rPr>
      <w:rFonts w:ascii="宋体" w:eastAsia="宋体" w:hAnsi="宋体" w:cs="宋体"/>
      <w:kern w:val="0"/>
      <w:sz w:val="24"/>
      <w:szCs w:val="24"/>
    </w:rPr>
  </w:style>
  <w:style w:type="character" w:customStyle="1" w:styleId="style21">
    <w:name w:val="style21"/>
    <w:basedOn w:val="a0"/>
    <w:rsid w:val="00FE04F8"/>
  </w:style>
  <w:style w:type="character" w:styleId="a6">
    <w:name w:val="Strong"/>
    <w:basedOn w:val="a0"/>
    <w:uiPriority w:val="22"/>
    <w:qFormat/>
    <w:rsid w:val="00FE04F8"/>
    <w:rPr>
      <w:b/>
      <w:bCs/>
    </w:rPr>
  </w:style>
</w:styles>
</file>

<file path=word/webSettings.xml><?xml version="1.0" encoding="utf-8"?>
<w:webSettings xmlns:r="http://schemas.openxmlformats.org/officeDocument/2006/relationships" xmlns:w="http://schemas.openxmlformats.org/wordprocessingml/2006/main">
  <w:divs>
    <w:div w:id="48629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1811</Characters>
  <DocSecurity>0</DocSecurity>
  <Lines>15</Lines>
  <Paragraphs>4</Paragraphs>
  <ScaleCrop>false</ScaleCrop>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2020-05-07T11:40:00Z</dcterms:created>
  <dcterms:modified xsi:type="dcterms:W3CDTF">2020-05-12T04:37:00Z</dcterms:modified>
</cp:coreProperties>
</file>